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84"/>
        <w:gridCol w:w="1324"/>
        <w:gridCol w:w="5697"/>
        <w:gridCol w:w="1062"/>
        <w:gridCol w:w="141"/>
        <w:gridCol w:w="262"/>
        <w:gridCol w:w="537"/>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90" w:hRule="atLeast"/>
          <w:jc w:val="center"/>
        </w:trPr>
        <w:tc>
          <w:tcPr>
            <w:tcW w:w="4882" w:type="pct"/>
            <w:gridSpan w:val="7"/>
            <w:tcBorders>
              <w:top w:val="nil"/>
              <w:left w:val="nil"/>
              <w:bottom w:val="nil"/>
              <w:right w:val="nil"/>
            </w:tcBorders>
            <w:shd w:val="clear" w:color="auto"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w:t>
            </w:r>
            <w:r>
              <w:rPr>
                <w:rFonts w:hint="eastAsia" w:ascii="黑体" w:hAnsi="黑体" w:eastAsia="黑体" w:cs="宋体"/>
                <w:b/>
                <w:bCs/>
                <w:kern w:val="0"/>
                <w:sz w:val="36"/>
                <w:szCs w:val="36"/>
                <w:lang w:val="en-US" w:eastAsia="zh-CN"/>
              </w:rPr>
              <w:t>2</w:t>
            </w:r>
            <w:r>
              <w:rPr>
                <w:rFonts w:hint="eastAsia" w:ascii="黑体" w:hAnsi="黑体" w:eastAsia="黑体" w:cs="宋体"/>
                <w:b/>
                <w:bCs/>
                <w:kern w:val="0"/>
                <w:sz w:val="36"/>
                <w:szCs w:val="36"/>
              </w:rPr>
              <w:t>年度部门决算信息公开自查表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5" w:hRule="atLeast"/>
          <w:jc w:val="center"/>
        </w:trPr>
        <w:tc>
          <w:tcPr>
            <w:tcW w:w="480" w:type="pct"/>
            <w:tcBorders>
              <w:top w:val="nil"/>
              <w:left w:val="nil"/>
              <w:bottom w:val="nil"/>
              <w:right w:val="nil"/>
            </w:tcBorders>
            <w:shd w:val="clear" w:color="auto"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　</w:t>
            </w:r>
          </w:p>
        </w:tc>
        <w:tc>
          <w:tcPr>
            <w:tcW w:w="646" w:type="pct"/>
            <w:tcBorders>
              <w:top w:val="nil"/>
              <w:left w:val="nil"/>
              <w:bottom w:val="nil"/>
              <w:right w:val="nil"/>
            </w:tcBorders>
            <w:shd w:val="clear" w:color="auto"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　</w:t>
            </w:r>
          </w:p>
        </w:tc>
        <w:tc>
          <w:tcPr>
            <w:tcW w:w="2779" w:type="pct"/>
            <w:tcBorders>
              <w:top w:val="nil"/>
              <w:left w:val="nil"/>
              <w:bottom w:val="nil"/>
              <w:right w:val="nil"/>
            </w:tcBorders>
            <w:shd w:val="clear" w:color="auto" w:fill="FFFFFF"/>
            <w:noWrap/>
            <w:vAlign w:val="center"/>
          </w:tcPr>
          <w:p>
            <w:pPr>
              <w:widowControl/>
              <w:rPr>
                <w:rFonts w:ascii="黑体" w:hAnsi="黑体" w:eastAsia="黑体" w:cs="宋体"/>
                <w:b/>
                <w:bCs/>
                <w:kern w:val="0"/>
                <w:sz w:val="36"/>
                <w:szCs w:val="36"/>
              </w:rPr>
            </w:pPr>
            <w:r>
              <w:rPr>
                <w:rFonts w:hint="eastAsia" w:ascii="黑体" w:hAnsi="黑体" w:eastAsia="黑体" w:cs="宋体"/>
                <w:b/>
                <w:bCs/>
                <w:kern w:val="0"/>
                <w:sz w:val="36"/>
                <w:szCs w:val="36"/>
              </w:rPr>
              <w:t>　</w:t>
            </w:r>
          </w:p>
        </w:tc>
        <w:tc>
          <w:tcPr>
            <w:tcW w:w="587" w:type="pct"/>
            <w:gridSpan w:val="2"/>
            <w:tcBorders>
              <w:top w:val="nil"/>
              <w:left w:val="nil"/>
              <w:bottom w:val="nil"/>
              <w:right w:val="nil"/>
            </w:tcBorders>
            <w:shd w:val="clear" w:color="auto"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　</w:t>
            </w:r>
          </w:p>
        </w:tc>
        <w:tc>
          <w:tcPr>
            <w:tcW w:w="127" w:type="pct"/>
            <w:tcBorders>
              <w:top w:val="nil"/>
              <w:left w:val="nil"/>
              <w:bottom w:val="nil"/>
              <w:right w:val="nil"/>
            </w:tcBorders>
            <w:shd w:val="clear" w:color="auto"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　</w:t>
            </w:r>
          </w:p>
        </w:tc>
        <w:tc>
          <w:tcPr>
            <w:tcW w:w="379" w:type="pct"/>
            <w:gridSpan w:val="2"/>
            <w:tcBorders>
              <w:top w:val="nil"/>
              <w:left w:val="nil"/>
              <w:bottom w:val="nil"/>
              <w:right w:val="nil"/>
            </w:tcBorders>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5" w:hRule="atLeast"/>
          <w:jc w:val="center"/>
        </w:trPr>
        <w:tc>
          <w:tcPr>
            <w:tcW w:w="1126" w:type="pct"/>
            <w:gridSpan w:val="2"/>
            <w:tcBorders>
              <w:top w:val="nil"/>
              <w:left w:val="nil"/>
              <w:bottom w:val="single" w:color="auto" w:sz="4" w:space="0"/>
              <w:right w:val="nil"/>
            </w:tcBorders>
            <w:shd w:val="clear" w:color="auto" w:fill="FFFFFF"/>
            <w:noWrap/>
            <w:vAlign w:val="center"/>
          </w:tcPr>
          <w:p>
            <w:pPr>
              <w:widowControl/>
              <w:jc w:val="left"/>
              <w:rPr>
                <w:rFonts w:ascii="宋体" w:hAnsi="宋体" w:cs="宋体"/>
                <w:b/>
                <w:bCs/>
                <w:kern w:val="0"/>
                <w:sz w:val="22"/>
              </w:rPr>
            </w:pPr>
            <w:r>
              <w:rPr>
                <w:rFonts w:hint="eastAsia" w:ascii="宋体" w:hAnsi="宋体" w:cs="宋体"/>
                <w:b/>
                <w:bCs/>
                <w:kern w:val="0"/>
                <w:sz w:val="22"/>
              </w:rPr>
              <w:t xml:space="preserve">单位名称（盖章）：    </w:t>
            </w:r>
            <w:r>
              <w:rPr>
                <w:rFonts w:hint="eastAsia" w:ascii="宋体" w:hAnsi="宋体" w:cs="宋体"/>
                <w:kern w:val="0"/>
                <w:sz w:val="22"/>
              </w:rPr>
              <w:t xml:space="preserve">    </w:t>
            </w:r>
          </w:p>
        </w:tc>
        <w:tc>
          <w:tcPr>
            <w:tcW w:w="2779" w:type="pct"/>
            <w:tcBorders>
              <w:top w:val="nil"/>
              <w:left w:val="nil"/>
              <w:bottom w:val="single" w:color="auto" w:sz="4" w:space="0"/>
              <w:right w:val="nil"/>
            </w:tcBorders>
            <w:shd w:val="clear" w:color="auto" w:fill="FFFFFF"/>
            <w:noWrap/>
            <w:vAlign w:val="center"/>
          </w:tcPr>
          <w:p>
            <w:pPr>
              <w:widowControl/>
              <w:jc w:val="left"/>
              <w:rPr>
                <w:rFonts w:ascii="宋体" w:hAnsi="宋体" w:cs="宋体"/>
                <w:b/>
                <w:bCs/>
                <w:kern w:val="0"/>
                <w:sz w:val="22"/>
              </w:rPr>
            </w:pPr>
            <w:r>
              <w:rPr>
                <w:rFonts w:hint="eastAsia" w:ascii="宋体" w:hAnsi="宋体" w:cs="宋体"/>
                <w:b/>
                <w:bCs/>
                <w:kern w:val="0"/>
                <w:sz w:val="22"/>
                <w:lang w:eastAsia="zh-CN"/>
              </w:rPr>
              <w:t>北京市西城区金融街少年宫</w:t>
            </w:r>
            <w:r>
              <w:rPr>
                <w:rFonts w:hint="eastAsia" w:ascii="宋体" w:hAnsi="宋体" w:cs="宋体"/>
                <w:b/>
                <w:bCs/>
                <w:kern w:val="0"/>
                <w:sz w:val="22"/>
              </w:rPr>
              <w:t xml:space="preserve">               部门代码：</w:t>
            </w:r>
            <w:r>
              <w:rPr>
                <w:rFonts w:hint="eastAsia" w:ascii="宋体" w:hAnsi="宋体" w:cs="宋体"/>
                <w:kern w:val="0"/>
                <w:sz w:val="22"/>
              </w:rPr>
              <w:t xml:space="preserve"> </w:t>
            </w:r>
          </w:p>
        </w:tc>
        <w:tc>
          <w:tcPr>
            <w:tcW w:w="587" w:type="pct"/>
            <w:gridSpan w:val="2"/>
            <w:tcBorders>
              <w:top w:val="nil"/>
              <w:left w:val="nil"/>
              <w:bottom w:val="single" w:color="auto" w:sz="4" w:space="0"/>
              <w:right w:val="nil"/>
            </w:tcBorders>
            <w:shd w:val="clear" w:color="auto" w:fill="FFFFFF"/>
            <w:noWrap/>
            <w:vAlign w:val="center"/>
          </w:tcPr>
          <w:p>
            <w:pPr>
              <w:widowControl/>
              <w:jc w:val="left"/>
              <w:rPr>
                <w:rFonts w:ascii="宋体" w:hAnsi="宋体" w:cs="宋体"/>
                <w:b/>
                <w:bCs/>
                <w:kern w:val="0"/>
                <w:sz w:val="22"/>
              </w:rPr>
            </w:pPr>
            <w:r>
              <w:rPr>
                <w:rFonts w:hint="eastAsia" w:ascii="宋体" w:hAnsi="宋体" w:cs="宋体"/>
                <w:b/>
                <w:bCs/>
                <w:kern w:val="0"/>
                <w:sz w:val="22"/>
                <w:lang w:val="en-US" w:eastAsia="zh-CN"/>
              </w:rPr>
              <w:t>255093</w:t>
            </w:r>
            <w:r>
              <w:rPr>
                <w:rFonts w:hint="eastAsia" w:ascii="宋体" w:hAnsi="宋体" w:cs="宋体"/>
                <w:b/>
                <w:bCs/>
                <w:kern w:val="0"/>
                <w:sz w:val="22"/>
              </w:rPr>
              <w:t>　</w:t>
            </w:r>
          </w:p>
        </w:tc>
        <w:tc>
          <w:tcPr>
            <w:tcW w:w="127" w:type="pct"/>
            <w:tcBorders>
              <w:top w:val="nil"/>
              <w:left w:val="nil"/>
              <w:bottom w:val="single" w:color="auto" w:sz="4" w:space="0"/>
              <w:right w:val="nil"/>
            </w:tcBorders>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　</w:t>
            </w:r>
          </w:p>
        </w:tc>
        <w:tc>
          <w:tcPr>
            <w:tcW w:w="379" w:type="pct"/>
            <w:gridSpan w:val="2"/>
            <w:tcBorders>
              <w:top w:val="nil"/>
              <w:left w:val="nil"/>
              <w:bottom w:val="single" w:color="auto" w:sz="4" w:space="0"/>
              <w:right w:val="nil"/>
            </w:tcBorders>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3906" w:type="pct"/>
            <w:gridSpan w:val="3"/>
            <w:tcBorders>
              <w:top w:val="single" w:color="auto" w:sz="4" w:space="0"/>
            </w:tcBorders>
            <w:shd w:val="clear" w:color="auto" w:fill="FFFFFF"/>
            <w:noWrap/>
            <w:vAlign w:val="center"/>
          </w:tcPr>
          <w:p>
            <w:pPr>
              <w:widowControl/>
              <w:jc w:val="center"/>
              <w:rPr>
                <w:rFonts w:ascii="宋体" w:hAnsi="宋体" w:cs="宋体"/>
                <w:b/>
                <w:bCs/>
                <w:kern w:val="0"/>
                <w:sz w:val="22"/>
              </w:rPr>
            </w:pPr>
            <w:r>
              <w:rPr>
                <w:rFonts w:hint="eastAsia" w:ascii="宋体" w:hAnsi="宋体" w:cs="宋体"/>
                <w:b/>
                <w:bCs/>
                <w:kern w:val="0"/>
                <w:sz w:val="22"/>
              </w:rPr>
              <w:t>具体公开时间</w:t>
            </w:r>
          </w:p>
        </w:tc>
        <w:tc>
          <w:tcPr>
            <w:tcW w:w="976" w:type="pct"/>
            <w:gridSpan w:val="4"/>
            <w:tcBorders>
              <w:top w:val="single" w:color="auto" w:sz="4" w:space="0"/>
            </w:tcBorders>
            <w:shd w:val="clear" w:color="auto" w:fill="FFFFFF"/>
            <w:vAlign w:val="center"/>
          </w:tcPr>
          <w:p>
            <w:pPr>
              <w:widowControl/>
              <w:jc w:val="center"/>
              <w:rPr>
                <w:rFonts w:hint="default" w:ascii="宋体" w:hAnsi="宋体" w:eastAsia="宋体" w:cs="宋体"/>
                <w:b/>
                <w:bCs/>
                <w:kern w:val="0"/>
                <w:sz w:val="22"/>
                <w:lang w:val="en-US" w:eastAsia="zh-CN"/>
              </w:rPr>
            </w:pPr>
            <w:r>
              <w:rPr>
                <w:rFonts w:hint="eastAsia" w:ascii="宋体" w:hAnsi="宋体" w:cs="宋体"/>
                <w:b/>
                <w:bCs/>
                <w:kern w:val="0"/>
                <w:sz w:val="22"/>
              </w:rPr>
              <w:t>　2</w:t>
            </w:r>
            <w:r>
              <w:rPr>
                <w:rFonts w:ascii="宋体" w:hAnsi="宋体" w:cs="宋体"/>
                <w:b/>
                <w:bCs/>
                <w:kern w:val="0"/>
                <w:sz w:val="22"/>
              </w:rPr>
              <w:t>02</w:t>
            </w:r>
            <w:r>
              <w:rPr>
                <w:rFonts w:hint="eastAsia" w:ascii="宋体" w:hAnsi="宋体" w:cs="宋体"/>
                <w:b/>
                <w:bCs/>
                <w:kern w:val="0"/>
                <w:sz w:val="22"/>
                <w:lang w:val="en-US" w:eastAsia="zh-CN"/>
              </w:rPr>
              <w:t>3</w:t>
            </w:r>
            <w:r>
              <w:rPr>
                <w:rFonts w:ascii="宋体" w:hAnsi="宋体" w:cs="宋体"/>
                <w:b/>
                <w:bCs/>
                <w:kern w:val="0"/>
                <w:sz w:val="22"/>
              </w:rPr>
              <w:t>.</w:t>
            </w:r>
            <w:r>
              <w:rPr>
                <w:rFonts w:hint="eastAsia" w:ascii="宋体" w:hAnsi="宋体" w:cs="宋体"/>
                <w:b/>
                <w:bCs/>
                <w:kern w:val="0"/>
                <w:sz w:val="22"/>
                <w:lang w:val="en-US" w:eastAsia="zh-CN"/>
              </w:rPr>
              <w:t>8</w:t>
            </w:r>
            <w:r>
              <w:rPr>
                <w:rFonts w:ascii="宋体" w:hAnsi="宋体" w:cs="宋体"/>
                <w:b/>
                <w:bCs/>
                <w:kern w:val="0"/>
                <w:sz w:val="22"/>
              </w:rPr>
              <w:t>.</w:t>
            </w:r>
            <w:r>
              <w:rPr>
                <w:rFonts w:hint="eastAsia" w:ascii="宋体" w:hAnsi="宋体" w:cs="宋体"/>
                <w:b/>
                <w:bCs/>
                <w:kern w:val="0"/>
                <w:sz w:val="22"/>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3906" w:type="pct"/>
            <w:gridSpan w:val="3"/>
            <w:shd w:val="clear" w:color="auto" w:fill="FFFFFF"/>
            <w:noWrap/>
            <w:vAlign w:val="center"/>
          </w:tcPr>
          <w:p>
            <w:pPr>
              <w:widowControl/>
              <w:jc w:val="center"/>
              <w:rPr>
                <w:rFonts w:hint="default" w:ascii="宋体" w:hAnsi="宋体" w:eastAsia="宋体" w:cs="宋体"/>
                <w:b/>
                <w:bCs/>
                <w:kern w:val="0"/>
                <w:sz w:val="22"/>
                <w:lang w:val="en-US" w:eastAsia="zh-CN"/>
              </w:rPr>
            </w:pPr>
            <w:r>
              <w:rPr>
                <w:rFonts w:hint="eastAsia" w:ascii="宋体" w:hAnsi="宋体" w:cs="宋体"/>
                <w:b/>
                <w:bCs/>
                <w:kern w:val="0"/>
                <w:sz w:val="22"/>
              </w:rPr>
              <w:t>公开途径（网址）</w:t>
            </w:r>
            <w:r>
              <w:rPr>
                <w:rFonts w:hint="eastAsia" w:ascii="宋体" w:hAnsi="宋体" w:cs="宋体"/>
                <w:b/>
                <w:bCs/>
                <w:kern w:val="0"/>
                <w:sz w:val="22"/>
                <w:lang w:eastAsia="zh-CN"/>
              </w:rPr>
              <w:t>：</w:t>
            </w:r>
            <w:r>
              <w:rPr>
                <w:rFonts w:hint="eastAsia" w:ascii="宋体" w:hAnsi="宋体" w:cs="宋体"/>
                <w:b/>
                <w:bCs/>
                <w:kern w:val="0"/>
                <w:sz w:val="22"/>
                <w:lang w:val="en-US" w:eastAsia="zh-CN"/>
              </w:rPr>
              <w:t>http://jrjsng.cn</w:t>
            </w:r>
          </w:p>
        </w:tc>
        <w:tc>
          <w:tcPr>
            <w:tcW w:w="976" w:type="pct"/>
            <w:gridSpan w:val="4"/>
            <w:shd w:val="clear" w:color="auto" w:fill="FFFFFF"/>
            <w:vAlign w:val="center"/>
          </w:tcPr>
          <w:p>
            <w:pPr>
              <w:widowControl/>
              <w:jc w:val="left"/>
              <w:rPr>
                <w:rFonts w:ascii="宋体" w:hAnsi="宋体" w:cs="宋体"/>
                <w:b/>
                <w:bCs/>
                <w:kern w:val="0"/>
                <w:sz w:val="22"/>
              </w:rPr>
            </w:pPr>
            <w:r>
              <w:rPr>
                <w:rFonts w:hint="eastAsia" w:ascii="宋体" w:hAnsi="宋体" w:cs="宋体"/>
                <w:b/>
                <w:bCs/>
                <w:kern w:val="0"/>
                <w:sz w:val="22"/>
              </w:rPr>
              <w:t>1、区政府网站预决算统一公开平台</w:t>
            </w:r>
          </w:p>
          <w:p>
            <w:pPr>
              <w:widowControl/>
              <w:jc w:val="left"/>
              <w:rPr>
                <w:rFonts w:ascii="宋体" w:hAnsi="宋体" w:cs="宋体"/>
                <w:b/>
                <w:bCs/>
                <w:kern w:val="0"/>
                <w:sz w:val="22"/>
              </w:rPr>
            </w:pPr>
            <w:r>
              <w:rPr>
                <w:rFonts w:ascii="宋体" w:hAnsi="宋体" w:cs="宋体"/>
                <w:b/>
                <w:bCs/>
                <w:kern w:val="0"/>
                <w:sz w:val="22"/>
              </w:rPr>
              <w:t>2</w:t>
            </w:r>
            <w:r>
              <w:rPr>
                <w:rFonts w:hint="eastAsia" w:ascii="宋体" w:hAnsi="宋体" w:cs="宋体"/>
                <w:b/>
                <w:bCs/>
                <w:kern w:val="0"/>
                <w:sz w:val="22"/>
              </w:rPr>
              <w:t>、如学校有门户网站填写门户网站网址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3906" w:type="pct"/>
            <w:gridSpan w:val="3"/>
            <w:shd w:val="clear" w:color="auto" w:fill="FFFFFF"/>
            <w:noWrap/>
            <w:vAlign w:val="center"/>
          </w:tcPr>
          <w:p>
            <w:pPr>
              <w:widowControl/>
              <w:jc w:val="center"/>
              <w:rPr>
                <w:rFonts w:ascii="宋体" w:hAnsi="宋体" w:cs="宋体"/>
                <w:b/>
                <w:bCs/>
                <w:kern w:val="0"/>
                <w:sz w:val="22"/>
              </w:rPr>
            </w:pPr>
            <w:r>
              <w:rPr>
                <w:rFonts w:hint="eastAsia" w:ascii="宋体" w:hAnsi="宋体" w:cs="宋体"/>
                <w:b/>
                <w:bCs/>
                <w:kern w:val="0"/>
                <w:sz w:val="22"/>
              </w:rPr>
              <w:t>202</w:t>
            </w:r>
            <w:r>
              <w:rPr>
                <w:rFonts w:hint="eastAsia" w:ascii="宋体" w:hAnsi="宋体" w:cs="宋体"/>
                <w:b/>
                <w:bCs/>
                <w:kern w:val="0"/>
                <w:sz w:val="22"/>
                <w:lang w:val="en-US" w:eastAsia="zh-CN"/>
              </w:rPr>
              <w:t>2</w:t>
            </w:r>
            <w:r>
              <w:rPr>
                <w:rFonts w:hint="eastAsia" w:ascii="宋体" w:hAnsi="宋体" w:cs="宋体"/>
                <w:b/>
                <w:bCs/>
                <w:kern w:val="0"/>
                <w:sz w:val="22"/>
              </w:rPr>
              <w:t>年度部门决算公开检查内容</w:t>
            </w:r>
          </w:p>
        </w:tc>
        <w:tc>
          <w:tcPr>
            <w:tcW w:w="518" w:type="pct"/>
            <w:shd w:val="clear" w:color="auto" w:fill="FFFFFF"/>
            <w:vAlign w:val="center"/>
          </w:tcPr>
          <w:p>
            <w:pPr>
              <w:widowControl/>
              <w:jc w:val="center"/>
              <w:rPr>
                <w:rFonts w:ascii="宋体" w:hAnsi="宋体" w:cs="宋体"/>
                <w:b/>
                <w:bCs/>
                <w:kern w:val="0"/>
                <w:sz w:val="22"/>
              </w:rPr>
            </w:pPr>
            <w:r>
              <w:rPr>
                <w:rFonts w:hint="eastAsia" w:ascii="宋体" w:hAnsi="宋体" w:cs="宋体"/>
                <w:b/>
                <w:bCs/>
                <w:kern w:val="0"/>
                <w:sz w:val="22"/>
              </w:rPr>
              <w:t>是/否</w:t>
            </w:r>
          </w:p>
        </w:tc>
        <w:tc>
          <w:tcPr>
            <w:tcW w:w="458" w:type="pct"/>
            <w:gridSpan w:val="3"/>
            <w:shd w:val="clear" w:color="auto" w:fill="FFFFFF"/>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restart"/>
            <w:shd w:val="clear" w:color="auto" w:fill="FFFFFF"/>
            <w:textDirection w:val="tbRlV"/>
            <w:vAlign w:val="center"/>
          </w:tcPr>
          <w:p>
            <w:pPr>
              <w:widowControl/>
              <w:jc w:val="center"/>
              <w:rPr>
                <w:rFonts w:ascii="宋体" w:hAnsi="宋体" w:cs="宋体"/>
                <w:kern w:val="0"/>
                <w:sz w:val="22"/>
              </w:rPr>
            </w:pPr>
            <w:r>
              <w:rPr>
                <w:rFonts w:hint="eastAsia" w:ascii="宋体" w:hAnsi="宋体" w:cs="宋体"/>
                <w:kern w:val="0"/>
                <w:sz w:val="22"/>
              </w:rPr>
              <w:t xml:space="preserve">内容完整性    </w:t>
            </w: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部门主要职责及机构设置情况</w:t>
            </w:r>
          </w:p>
        </w:tc>
        <w:tc>
          <w:tcPr>
            <w:tcW w:w="518" w:type="pct"/>
            <w:shd w:val="clear" w:color="auto" w:fill="FFFFFF"/>
            <w:noWrap/>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是</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预决算收支增减变化情况说明</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机关运行经费执行情况说明</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政府采购执行情况说明</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政府购买服务情况说明</w:t>
            </w:r>
          </w:p>
        </w:tc>
        <w:tc>
          <w:tcPr>
            <w:tcW w:w="518" w:type="pct"/>
            <w:shd w:val="clear" w:color="auto" w:fill="FFFFFF"/>
            <w:noWrap/>
            <w:vAlign w:val="center"/>
          </w:tcPr>
          <w:p>
            <w:pPr>
              <w:widowControl/>
              <w:jc w:val="center"/>
              <w:rPr>
                <w:rFonts w:ascii="宋体" w:hAnsi="宋体" w:cs="宋体"/>
                <w:kern w:val="0"/>
                <w:sz w:val="22"/>
              </w:rPr>
            </w:pPr>
          </w:p>
        </w:tc>
        <w:tc>
          <w:tcPr>
            <w:tcW w:w="458" w:type="pct"/>
            <w:gridSpan w:val="3"/>
            <w:shd w:val="clear" w:color="auto" w:fill="FFFFFF"/>
            <w:noWrap/>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重点绩效评价结果等预算绩效情况说明</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国有资产占用情况</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专业性较强的名词进行解释</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国有资本经营预算拨款收支情况</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政府性基金预算情况</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各类民生支出情况（要求各街道按要求公开）</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458" w:type="pct"/>
            <w:gridSpan w:val="3"/>
            <w:shd w:val="clear" w:color="auto" w:fill="FFFFFF"/>
            <w:noWrap/>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　</w:t>
            </w:r>
            <w:r>
              <w:rPr>
                <w:rFonts w:hint="eastAsia" w:ascii="宋体" w:hAnsi="宋体" w:cs="宋体"/>
                <w:color w:val="000000"/>
                <w:kern w:val="0"/>
                <w:sz w:val="22"/>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restart"/>
            <w:shd w:val="clear" w:color="auto" w:fill="FFFFFF"/>
            <w:vAlign w:val="center"/>
          </w:tcPr>
          <w:p>
            <w:pPr>
              <w:widowControl/>
              <w:jc w:val="center"/>
              <w:rPr>
                <w:rFonts w:ascii="宋体" w:hAnsi="宋体" w:cs="宋体"/>
                <w:kern w:val="0"/>
                <w:sz w:val="22"/>
              </w:rPr>
            </w:pPr>
            <w:r>
              <w:rPr>
                <w:rFonts w:hint="eastAsia" w:ascii="宋体" w:hAnsi="宋体" w:cs="宋体"/>
                <w:kern w:val="0"/>
                <w:sz w:val="22"/>
              </w:rPr>
              <w:t>部门收支总体情况</w:t>
            </w: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部门收支决算总体情况表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部门收入决算总体情况表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部门支出决算总体情况表</w:t>
            </w:r>
          </w:p>
        </w:tc>
        <w:tc>
          <w:tcPr>
            <w:tcW w:w="518" w:type="pct"/>
            <w:tcBorders>
              <w:bottom w:val="single" w:color="auto" w:sz="4" w:space="0"/>
            </w:tcBorders>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hint="eastAsia" w:ascii="宋体" w:hAnsi="宋体" w:cs="宋体"/>
                <w:kern w:val="0"/>
                <w:sz w:val="22"/>
              </w:rPr>
            </w:pPr>
            <w:r>
              <w:rPr>
                <w:rFonts w:hint="eastAsia" w:ascii="宋体" w:hAnsi="宋体" w:cs="宋体"/>
                <w:kern w:val="0"/>
                <w:sz w:val="22"/>
              </w:rPr>
              <w:t>政府采购情况表(参照 财决附03表)</w:t>
            </w:r>
          </w:p>
        </w:tc>
        <w:tc>
          <w:tcPr>
            <w:tcW w:w="518" w:type="pct"/>
            <w:tcBorders>
              <w:bottom w:val="single" w:color="auto" w:sz="4" w:space="0"/>
            </w:tcBorders>
            <w:shd w:val="clear" w:color="auto" w:fill="FFFFFF"/>
            <w:noWrap/>
            <w:vAlign w:val="center"/>
          </w:tcPr>
          <w:p>
            <w:pPr>
              <w:widowControl/>
              <w:jc w:val="center"/>
              <w:rPr>
                <w:rFonts w:hint="eastAsia"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xml:space="preserve"> </w:t>
            </w:r>
            <w:r>
              <w:rPr>
                <w:rFonts w:ascii="宋体" w:hAnsi="宋体" w:cs="宋体"/>
                <w:kern w:val="0"/>
                <w:sz w:val="22"/>
              </w:rPr>
              <w:t xml:space="preserve"> </w:t>
            </w:r>
          </w:p>
        </w:tc>
        <w:tc>
          <w:tcPr>
            <w:tcW w:w="458" w:type="pct"/>
            <w:gridSpan w:val="3"/>
            <w:shd w:val="clear" w:color="auto" w:fill="FFFFFF"/>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w:t>
            </w:r>
            <w:r>
              <w:rPr>
                <w:rFonts w:ascii="宋体"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政府购买服务支出情况表</w:t>
            </w:r>
          </w:p>
        </w:tc>
        <w:tc>
          <w:tcPr>
            <w:tcW w:w="518" w:type="pct"/>
            <w:tcBorders>
              <w:top w:val="single" w:color="auto" w:sz="4" w:space="0"/>
            </w:tcBorders>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rPr>
                <w:rFonts w:hint="eastAsia" w:ascii="宋体" w:hAnsi="宋体" w:cs="宋体"/>
                <w:color w:val="000000"/>
                <w:kern w:val="0"/>
                <w:sz w:val="22"/>
              </w:rPr>
            </w:pPr>
            <w:r>
              <w:rPr>
                <w:rFonts w:hint="eastAsia" w:ascii="宋体" w:hAnsi="宋体" w:cs="宋体"/>
                <w:color w:val="000000"/>
                <w:kern w:val="0"/>
                <w:sz w:val="22"/>
              </w:rPr>
              <w:t xml:space="preserve"> </w:t>
            </w:r>
            <w:r>
              <w:rPr>
                <w:rFonts w:ascii="宋体"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restart"/>
            <w:shd w:val="clear" w:color="auto" w:fill="FFFFFF"/>
            <w:vAlign w:val="center"/>
          </w:tcPr>
          <w:p>
            <w:pPr>
              <w:widowControl/>
              <w:jc w:val="center"/>
              <w:rPr>
                <w:rFonts w:ascii="宋体" w:hAnsi="宋体" w:cs="宋体"/>
                <w:kern w:val="0"/>
                <w:sz w:val="22"/>
              </w:rPr>
            </w:pPr>
            <w:r>
              <w:rPr>
                <w:rFonts w:hint="eastAsia" w:ascii="宋体" w:hAnsi="宋体" w:cs="宋体"/>
                <w:kern w:val="0"/>
                <w:sz w:val="22"/>
              </w:rPr>
              <w:t>财政拨款收支情况</w:t>
            </w: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财政拨款收支决算总体情况表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一般公共预算财政拨款支出决算情况表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一般公共预算财政拨款基本支出决算情况表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一般公共预算财政拨款“三公”经费支出决算情况表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政府性基金预算财政拨款收支决算情况表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政府性基金预算财政拨款基本支出情况表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国有资本经营预算财政拨款支出决算情况表</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p>
        </w:tc>
        <w:tc>
          <w:tcPr>
            <w:tcW w:w="458" w:type="pct"/>
            <w:gridSpan w:val="3"/>
            <w:shd w:val="clear" w:color="auto"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23" w:hRule="atLeast"/>
          <w:jc w:val="center"/>
        </w:trPr>
        <w:tc>
          <w:tcPr>
            <w:tcW w:w="480" w:type="pct"/>
            <w:vMerge w:val="restart"/>
            <w:shd w:val="clear" w:color="auto" w:fill="FFFFFF"/>
            <w:textDirection w:val="tbRlV"/>
            <w:vAlign w:val="center"/>
          </w:tcPr>
          <w:p>
            <w:pPr>
              <w:widowControl/>
              <w:jc w:val="center"/>
              <w:rPr>
                <w:rFonts w:ascii="宋体" w:hAnsi="宋体" w:cs="宋体"/>
                <w:kern w:val="0"/>
                <w:sz w:val="22"/>
              </w:rPr>
            </w:pPr>
            <w:r>
              <w:rPr>
                <w:rFonts w:hint="eastAsia" w:ascii="宋体" w:hAnsi="宋体" w:cs="宋体"/>
                <w:kern w:val="0"/>
                <w:sz w:val="22"/>
              </w:rPr>
              <w:t xml:space="preserve">细化程度      </w:t>
            </w:r>
          </w:p>
        </w:tc>
        <w:tc>
          <w:tcPr>
            <w:tcW w:w="3425" w:type="pct"/>
            <w:gridSpan w:val="2"/>
            <w:shd w:val="clear" w:color="auto" w:fill="FFFFFF"/>
            <w:vAlign w:val="center"/>
          </w:tcPr>
          <w:p>
            <w:pPr>
              <w:widowControl/>
              <w:jc w:val="left"/>
              <w:rPr>
                <w:rFonts w:ascii="宋体" w:hAnsi="宋体" w:cs="宋体"/>
                <w:kern w:val="0"/>
                <w:sz w:val="22"/>
              </w:rPr>
            </w:pPr>
            <w:r>
              <w:rPr>
                <w:rFonts w:hint="eastAsia" w:ascii="宋体" w:hAnsi="宋体" w:cs="宋体"/>
                <w:kern w:val="0"/>
                <w:sz w:val="22"/>
              </w:rPr>
              <w:t>一般公共预算支出情况表公开到功能分类“项”级科目</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是</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612"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vAlign w:val="center"/>
          </w:tcPr>
          <w:p>
            <w:pPr>
              <w:widowControl/>
              <w:jc w:val="left"/>
              <w:rPr>
                <w:rFonts w:ascii="宋体" w:hAnsi="宋体" w:cs="宋体"/>
                <w:kern w:val="0"/>
                <w:sz w:val="22"/>
              </w:rPr>
            </w:pPr>
            <w:r>
              <w:rPr>
                <w:rFonts w:hint="eastAsia" w:ascii="宋体" w:hAnsi="宋体" w:cs="宋体"/>
                <w:kern w:val="0"/>
                <w:sz w:val="22"/>
              </w:rPr>
              <w:t>一般公共预算基本支出情况表、政府性基金基本支出情况表公开到经济分类“款”级科目</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是</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57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vAlign w:val="center"/>
          </w:tcPr>
          <w:p>
            <w:pPr>
              <w:widowControl/>
              <w:jc w:val="left"/>
              <w:rPr>
                <w:rFonts w:ascii="宋体" w:hAnsi="宋体" w:cs="宋体"/>
                <w:kern w:val="0"/>
                <w:sz w:val="22"/>
              </w:rPr>
            </w:pPr>
            <w:r>
              <w:rPr>
                <w:rFonts w:hint="eastAsia" w:ascii="宋体" w:hAnsi="宋体" w:cs="宋体"/>
                <w:kern w:val="0"/>
                <w:sz w:val="22"/>
              </w:rPr>
              <w:t>政府购买服务情况需按照服务类别并依据《政府购买服务指导性目录》公开到二级目录</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12"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restart"/>
            <w:shd w:val="clear" w:color="auto" w:fill="FFFFFF"/>
            <w:vAlign w:val="center"/>
          </w:tcPr>
          <w:p>
            <w:pPr>
              <w:widowControl/>
              <w:jc w:val="center"/>
              <w:rPr>
                <w:rFonts w:ascii="宋体" w:hAnsi="宋体" w:cs="宋体"/>
                <w:kern w:val="0"/>
                <w:sz w:val="22"/>
              </w:rPr>
            </w:pPr>
            <w:r>
              <w:rPr>
                <w:rFonts w:hint="eastAsia" w:ascii="宋体" w:hAnsi="宋体" w:cs="宋体"/>
                <w:kern w:val="0"/>
                <w:sz w:val="22"/>
              </w:rPr>
              <w:t>一般公共预算财政拨款“三公”经费</w:t>
            </w: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 xml:space="preserve">“三公”经费增减变化原因等说明信息 </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649"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vAlign w:val="center"/>
          </w:tcPr>
          <w:p>
            <w:pPr>
              <w:widowControl/>
              <w:jc w:val="left"/>
              <w:rPr>
                <w:rFonts w:ascii="宋体" w:hAnsi="宋体" w:cs="宋体"/>
                <w:kern w:val="0"/>
                <w:sz w:val="22"/>
              </w:rPr>
            </w:pPr>
            <w:r>
              <w:rPr>
                <w:rFonts w:hint="eastAsia" w:ascii="宋体" w:hAnsi="宋体" w:cs="宋体"/>
                <w:kern w:val="0"/>
                <w:sz w:val="22"/>
              </w:rPr>
              <w:t>细化说明因公出国出境（含统战类和科研类）团组数及人数</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870"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vAlign w:val="center"/>
          </w:tcPr>
          <w:p>
            <w:pPr>
              <w:widowControl/>
              <w:jc w:val="left"/>
              <w:rPr>
                <w:rFonts w:ascii="宋体" w:hAnsi="宋体" w:cs="宋体"/>
                <w:kern w:val="0"/>
                <w:sz w:val="22"/>
              </w:rPr>
            </w:pPr>
            <w:r>
              <w:rPr>
                <w:rFonts w:hint="eastAsia" w:ascii="宋体" w:hAnsi="宋体" w:cs="宋体"/>
                <w:kern w:val="0"/>
                <w:sz w:val="22"/>
              </w:rPr>
              <w:t>一般公共预算财政拨款“三公”经费支出决算表按“因公出国（境）费”、“公务用车购置及运行费”、“公务接待费”公开</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589"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vAlign w:val="center"/>
          </w:tcPr>
          <w:p>
            <w:pPr>
              <w:widowControl/>
              <w:jc w:val="left"/>
              <w:rPr>
                <w:rFonts w:ascii="宋体" w:hAnsi="宋体" w:cs="宋体"/>
                <w:kern w:val="0"/>
                <w:sz w:val="22"/>
              </w:rPr>
            </w:pPr>
            <w:r>
              <w:rPr>
                <w:rFonts w:hint="eastAsia" w:ascii="宋体" w:hAnsi="宋体" w:cs="宋体"/>
                <w:kern w:val="0"/>
                <w:sz w:val="22"/>
              </w:rPr>
              <w:t xml:space="preserve">“公务用车购置和运行费”是否细化公开为“公务用车购置费”和“公务用车运行费” </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 xml:space="preserve">公务用车购置数及保有量 </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338"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646" w:type="pct"/>
            <w:vMerge w:val="continue"/>
            <w:shd w:val="clear" w:color="auto" w:fill="FFFFFF"/>
            <w:vAlign w:val="center"/>
          </w:tcPr>
          <w:p>
            <w:pPr>
              <w:widowControl/>
              <w:jc w:val="left"/>
              <w:rPr>
                <w:rFonts w:ascii="宋体" w:hAnsi="宋体" w:cs="宋体"/>
                <w:kern w:val="0"/>
                <w:sz w:val="22"/>
              </w:rPr>
            </w:pPr>
          </w:p>
        </w:tc>
        <w:tc>
          <w:tcPr>
            <w:tcW w:w="2779" w:type="pct"/>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 xml:space="preserve">国内公务接待的批次、人数 </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812" w:hRule="atLeast"/>
          <w:jc w:val="center"/>
        </w:trPr>
        <w:tc>
          <w:tcPr>
            <w:tcW w:w="480" w:type="pct"/>
            <w:shd w:val="clear" w:color="auto" w:fill="FFFFFF"/>
            <w:textDirection w:val="tbRlV"/>
            <w:vAlign w:val="center"/>
          </w:tcPr>
          <w:p>
            <w:pPr>
              <w:widowControl/>
              <w:jc w:val="center"/>
              <w:rPr>
                <w:rFonts w:ascii="宋体" w:hAnsi="宋体" w:cs="宋体"/>
                <w:kern w:val="0"/>
                <w:sz w:val="22"/>
              </w:rPr>
            </w:pPr>
            <w:r>
              <w:rPr>
                <w:rFonts w:hint="eastAsia" w:ascii="宋体" w:hAnsi="宋体" w:cs="宋体"/>
                <w:kern w:val="0"/>
                <w:sz w:val="22"/>
              </w:rPr>
              <w:t xml:space="preserve">及时性        </w:t>
            </w: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在决算批复后20日内公开</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是</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570" w:hRule="atLeast"/>
          <w:jc w:val="center"/>
        </w:trPr>
        <w:tc>
          <w:tcPr>
            <w:tcW w:w="480" w:type="pct"/>
            <w:vMerge w:val="restart"/>
            <w:shd w:val="clear" w:color="auto" w:fill="FFFFFF"/>
            <w:textDirection w:val="tbRlV"/>
            <w:vAlign w:val="center"/>
          </w:tcPr>
          <w:p>
            <w:pPr>
              <w:jc w:val="center"/>
              <w:rPr>
                <w:rFonts w:ascii="宋体" w:hAnsi="宋体" w:cs="宋体"/>
                <w:kern w:val="0"/>
                <w:sz w:val="22"/>
              </w:rPr>
            </w:pPr>
            <w:r>
              <w:rPr>
                <w:rFonts w:hint="eastAsia" w:ascii="宋体" w:hAnsi="宋体" w:cs="宋体"/>
                <w:kern w:val="0"/>
                <w:sz w:val="22"/>
              </w:rPr>
              <w:t xml:space="preserve">公开方式       </w:t>
            </w:r>
          </w:p>
        </w:tc>
        <w:tc>
          <w:tcPr>
            <w:tcW w:w="3425" w:type="pct"/>
            <w:gridSpan w:val="2"/>
            <w:shd w:val="clear" w:color="auto" w:fill="FFFFFF"/>
            <w:vAlign w:val="center"/>
          </w:tcPr>
          <w:p>
            <w:pPr>
              <w:widowControl/>
              <w:jc w:val="left"/>
              <w:rPr>
                <w:rFonts w:ascii="宋体" w:hAnsi="宋体" w:cs="宋体"/>
                <w:kern w:val="0"/>
                <w:sz w:val="22"/>
              </w:rPr>
            </w:pPr>
            <w:r>
              <w:rPr>
                <w:rFonts w:hint="eastAsia" w:ascii="宋体" w:hAnsi="宋体" w:cs="宋体"/>
                <w:kern w:val="0"/>
                <w:sz w:val="22"/>
              </w:rPr>
              <w:t>区属各部门及所属单位在区政府网站预决算公开统一平台上公开预算信息。其中，部门无二级单位的，公开本部门预算信息；有二级单位的，</w:t>
            </w:r>
            <w:r>
              <w:rPr>
                <w:rFonts w:hint="eastAsia" w:ascii="宋体" w:hAnsi="宋体" w:cs="宋体"/>
                <w:b/>
                <w:kern w:val="0"/>
                <w:sz w:val="22"/>
              </w:rPr>
              <w:t>应公开本部门汇总预算信息、部门本级预算信息和二级单位预算信息</w:t>
            </w:r>
            <w:r>
              <w:rPr>
                <w:rFonts w:hint="eastAsia" w:ascii="宋体" w:hAnsi="宋体" w:cs="宋体"/>
                <w:kern w:val="0"/>
                <w:sz w:val="22"/>
              </w:rPr>
              <w:t>。</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是</w:t>
            </w:r>
          </w:p>
        </w:tc>
        <w:tc>
          <w:tcPr>
            <w:tcW w:w="458" w:type="pct"/>
            <w:gridSpan w:val="3"/>
            <w:shd w:val="clear" w:color="auto" w:fill="FFFFFF"/>
            <w:noWrap/>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570" w:hRule="atLeast"/>
          <w:jc w:val="center"/>
        </w:trPr>
        <w:tc>
          <w:tcPr>
            <w:tcW w:w="480" w:type="pct"/>
            <w:vMerge w:val="continue"/>
            <w:shd w:val="clear" w:color="auto" w:fill="FFFFFF"/>
            <w:textDirection w:val="tbRlV"/>
            <w:vAlign w:val="center"/>
          </w:tcPr>
          <w:p>
            <w:pPr>
              <w:widowControl/>
              <w:jc w:val="center"/>
              <w:rPr>
                <w:rFonts w:ascii="宋体" w:hAnsi="宋体" w:cs="宋体"/>
                <w:kern w:val="0"/>
                <w:sz w:val="22"/>
              </w:rPr>
            </w:pPr>
          </w:p>
        </w:tc>
        <w:tc>
          <w:tcPr>
            <w:tcW w:w="3425" w:type="pct"/>
            <w:gridSpan w:val="2"/>
            <w:shd w:val="clear" w:color="auto" w:fill="FFFFFF"/>
            <w:vAlign w:val="center"/>
          </w:tcPr>
          <w:p>
            <w:pPr>
              <w:widowControl/>
              <w:jc w:val="left"/>
              <w:rPr>
                <w:rFonts w:ascii="宋体" w:hAnsi="宋体" w:cs="宋体"/>
                <w:kern w:val="0"/>
                <w:sz w:val="22"/>
              </w:rPr>
            </w:pPr>
            <w:r>
              <w:rPr>
                <w:rFonts w:hint="eastAsia" w:ascii="宋体" w:hAnsi="宋体" w:cs="宋体"/>
                <w:kern w:val="0"/>
                <w:sz w:val="22"/>
              </w:rPr>
              <w:t>如保留门户网站的，应同时在门户网站予以公开</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lang w:eastAsia="zh-CN"/>
              </w:rPr>
              <w:t>是</w:t>
            </w:r>
            <w:r>
              <w:rPr>
                <w:rFonts w:hint="eastAsia" w:ascii="宋体" w:hAnsi="宋体" w:cs="宋体"/>
                <w:kern w:val="0"/>
                <w:sz w:val="22"/>
              </w:rPr>
              <w:t>　</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pct"/>
          <w:trHeight w:val="379" w:hRule="atLeast"/>
          <w:jc w:val="center"/>
        </w:trPr>
        <w:tc>
          <w:tcPr>
            <w:tcW w:w="480" w:type="pct"/>
            <w:vMerge w:val="continue"/>
            <w:shd w:val="clear" w:color="auto" w:fill="FFFFFF"/>
            <w:vAlign w:val="center"/>
          </w:tcPr>
          <w:p>
            <w:pPr>
              <w:widowControl/>
              <w:jc w:val="left"/>
              <w:rPr>
                <w:rFonts w:ascii="宋体" w:hAnsi="宋体" w:cs="宋体"/>
                <w:kern w:val="0"/>
                <w:sz w:val="22"/>
              </w:rPr>
            </w:pPr>
          </w:p>
        </w:tc>
        <w:tc>
          <w:tcPr>
            <w:tcW w:w="3425" w:type="pct"/>
            <w:gridSpan w:val="2"/>
            <w:shd w:val="clear" w:color="auto" w:fill="FFFFFF"/>
            <w:noWrap/>
            <w:vAlign w:val="center"/>
          </w:tcPr>
          <w:p>
            <w:pPr>
              <w:widowControl/>
              <w:jc w:val="left"/>
              <w:rPr>
                <w:rFonts w:ascii="宋体" w:hAnsi="宋体" w:cs="宋体"/>
                <w:kern w:val="0"/>
                <w:sz w:val="22"/>
              </w:rPr>
            </w:pPr>
            <w:r>
              <w:rPr>
                <w:rFonts w:hint="eastAsia" w:ascii="宋体" w:hAnsi="宋体" w:cs="宋体"/>
                <w:kern w:val="0"/>
                <w:sz w:val="22"/>
              </w:rPr>
              <w:t>在预决算公开统一平台（或专栏）上集中公开</w:t>
            </w:r>
          </w:p>
        </w:tc>
        <w:tc>
          <w:tcPr>
            <w:tcW w:w="518" w:type="pct"/>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是</w:t>
            </w:r>
          </w:p>
        </w:tc>
        <w:tc>
          <w:tcPr>
            <w:tcW w:w="458" w:type="pct"/>
            <w:gridSpan w:val="3"/>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pct"/>
          <w:trHeight w:val="589" w:hRule="atLeast"/>
          <w:jc w:val="center"/>
        </w:trPr>
        <w:tc>
          <w:tcPr>
            <w:tcW w:w="480" w:type="pct"/>
            <w:vMerge w:val="continue"/>
            <w:tcBorders>
              <w:bottom w:val="single" w:color="auto" w:sz="4" w:space="0"/>
            </w:tcBorders>
            <w:shd w:val="clear" w:color="auto" w:fill="FFFFFF"/>
            <w:vAlign w:val="center"/>
          </w:tcPr>
          <w:p>
            <w:pPr>
              <w:widowControl/>
              <w:jc w:val="left"/>
              <w:rPr>
                <w:rFonts w:ascii="宋体" w:hAnsi="宋体" w:cs="宋体"/>
                <w:kern w:val="0"/>
                <w:sz w:val="22"/>
              </w:rPr>
            </w:pPr>
          </w:p>
        </w:tc>
        <w:tc>
          <w:tcPr>
            <w:tcW w:w="3425" w:type="pct"/>
            <w:gridSpan w:val="2"/>
            <w:tcBorders>
              <w:bottom w:val="single" w:color="auto" w:sz="4" w:space="0"/>
            </w:tcBorders>
            <w:shd w:val="clear" w:color="auto" w:fill="FFFFFF"/>
            <w:vAlign w:val="center"/>
          </w:tcPr>
          <w:p>
            <w:pPr>
              <w:widowControl/>
              <w:jc w:val="left"/>
              <w:rPr>
                <w:rFonts w:ascii="宋体" w:hAnsi="宋体" w:cs="宋体"/>
                <w:kern w:val="0"/>
                <w:sz w:val="22"/>
              </w:rPr>
            </w:pPr>
            <w:r>
              <w:rPr>
                <w:rFonts w:hint="eastAsia" w:ascii="宋体" w:hAnsi="宋体" w:cs="宋体"/>
                <w:kern w:val="0"/>
                <w:sz w:val="22"/>
              </w:rPr>
              <w:t>对在统一平台公开预决算，需编制目录，对公开内容进行分类、分级</w:t>
            </w:r>
          </w:p>
        </w:tc>
        <w:tc>
          <w:tcPr>
            <w:tcW w:w="518" w:type="pct"/>
            <w:tcBorders>
              <w:bottom w:val="single" w:color="auto" w:sz="4" w:space="0"/>
            </w:tcBorders>
            <w:shd w:val="clear" w:color="auto" w:fill="FFFFFF"/>
            <w:noWrap/>
            <w:vAlign w:val="center"/>
          </w:tcPr>
          <w:p>
            <w:pPr>
              <w:widowControl/>
              <w:jc w:val="center"/>
              <w:rPr>
                <w:rFonts w:ascii="宋体" w:hAnsi="宋体" w:cs="宋体"/>
                <w:kern w:val="0"/>
                <w:sz w:val="22"/>
              </w:rPr>
            </w:pPr>
            <w:r>
              <w:rPr>
                <w:rFonts w:hint="eastAsia" w:ascii="宋体" w:hAnsi="宋体" w:cs="宋体"/>
                <w:kern w:val="0"/>
                <w:sz w:val="22"/>
              </w:rPr>
              <w:t>是</w:t>
            </w:r>
          </w:p>
        </w:tc>
        <w:tc>
          <w:tcPr>
            <w:tcW w:w="458" w:type="pct"/>
            <w:gridSpan w:val="3"/>
            <w:tcBorders>
              <w:bottom w:val="single" w:color="auto" w:sz="4" w:space="0"/>
            </w:tcBorders>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17" w:type="pct"/>
          <w:trHeight w:val="270" w:hRule="atLeast"/>
          <w:jc w:val="center"/>
        </w:trPr>
        <w:tc>
          <w:tcPr>
            <w:tcW w:w="4424" w:type="pct"/>
            <w:gridSpan w:val="4"/>
            <w:tcBorders>
              <w:top w:val="single" w:color="auto" w:sz="4" w:space="0"/>
              <w:left w:val="single" w:color="auto" w:sz="4" w:space="0"/>
              <w:bottom w:val="single" w:color="auto" w:sz="4" w:space="0"/>
              <w:right w:val="nil"/>
            </w:tcBorders>
            <w:shd w:val="clear" w:color="auto" w:fill="FFFFFF"/>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rPr>
              <w:t>填报人：</w:t>
            </w:r>
            <w:r>
              <w:rPr>
                <w:rFonts w:hint="eastAsia" w:ascii="宋体" w:hAnsi="宋体" w:cs="宋体"/>
                <w:color w:val="000000"/>
                <w:kern w:val="0"/>
                <w:sz w:val="22"/>
                <w:lang w:eastAsia="zh-CN"/>
              </w:rPr>
              <w:t>史钊宁</w:t>
            </w:r>
            <w:r>
              <w:rPr>
                <w:rFonts w:hint="eastAsia" w:ascii="宋体" w:hAnsi="宋体" w:cs="宋体"/>
                <w:color w:val="000000"/>
                <w:kern w:val="0"/>
                <w:sz w:val="22"/>
              </w:rPr>
              <w:t xml:space="preserve">                     联系方式： </w:t>
            </w:r>
            <w:r>
              <w:rPr>
                <w:rFonts w:hint="eastAsia" w:ascii="宋体" w:hAnsi="宋体" w:cs="宋体"/>
                <w:color w:val="000000"/>
                <w:kern w:val="0"/>
                <w:sz w:val="22"/>
                <w:lang w:val="en-US" w:eastAsia="zh-CN"/>
              </w:rPr>
              <w:t>66020655</w:t>
            </w:r>
            <w:r>
              <w:rPr>
                <w:rFonts w:hint="eastAsia" w:ascii="宋体" w:hAnsi="宋体" w:cs="宋体"/>
                <w:color w:val="000000"/>
                <w:kern w:val="0"/>
                <w:sz w:val="22"/>
              </w:rPr>
              <w:t xml:space="preserve">          填报日期</w:t>
            </w:r>
            <w:r>
              <w:rPr>
                <w:rFonts w:hint="eastAsia" w:ascii="宋体" w:hAnsi="宋体" w:cs="宋体"/>
                <w:color w:val="000000"/>
                <w:kern w:val="0"/>
                <w:sz w:val="22"/>
                <w:lang w:val="en-US" w:eastAsia="zh-CN"/>
              </w:rPr>
              <w:t>2023.8.20</w:t>
            </w:r>
          </w:p>
        </w:tc>
        <w:tc>
          <w:tcPr>
            <w:tcW w:w="458" w:type="pct"/>
            <w:gridSpan w:val="3"/>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tabs>
          <w:tab w:val="left" w:pos="5565"/>
        </w:tabs>
        <w:ind w:firstLine="235" w:firstLineChars="98"/>
        <w:rPr>
          <w:rFonts w:ascii="仿宋_GB2312" w:eastAsia="仿宋_GB2312"/>
          <w:sz w:val="24"/>
        </w:rPr>
      </w:pPr>
    </w:p>
    <w:p>
      <w:pPr>
        <w:tabs>
          <w:tab w:val="left" w:pos="1680"/>
        </w:tabs>
        <w:rPr>
          <w:rFonts w:ascii="仿宋_GB2312" w:eastAsia="仿宋_GB2312"/>
          <w:sz w:val="36"/>
        </w:rPr>
      </w:pPr>
    </w:p>
    <w:p>
      <w:pPr>
        <w:tabs>
          <w:tab w:val="left" w:pos="1680"/>
        </w:tabs>
        <w:rPr>
          <w:rFonts w:ascii="华文仿宋" w:hAnsi="华文仿宋" w:eastAsia="华文仿宋"/>
          <w:sz w:val="32"/>
          <w:szCs w:val="32"/>
        </w:rPr>
      </w:pPr>
      <w:bookmarkStart w:id="0" w:name="_GoBack"/>
      <w:bookmarkEnd w:id="0"/>
    </w:p>
    <w:p/>
    <w:p/>
    <w:sectPr>
      <w:footerReference r:id="rId3" w:type="default"/>
      <w:footerReference r:id="rId4" w:type="even"/>
      <w:pgSz w:w="11906" w:h="16838"/>
      <w:pgMar w:top="1701"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center"/>
      <w:rPr>
        <w:rFonts w:ascii="仿宋_GB2312" w:eastAsia="仿宋_GB2312"/>
        <w:sz w:val="28"/>
        <w:szCs w:val="28"/>
      </w:rPr>
    </w:pPr>
    <w:r>
      <w:fldChar w:fldCharType="begin"/>
    </w:r>
    <w:r>
      <w:rPr>
        <w:rStyle w:val="7"/>
      </w:rPr>
      <w:instrText xml:space="preserve"> PAGE </w:instrText>
    </w:r>
    <w:r>
      <w:fldChar w:fldCharType="separate"/>
    </w:r>
    <w:r>
      <w:rPr>
        <w:rStyle w:val="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r>
      <w:fldChar w:fldCharType="begin"/>
    </w:r>
    <w:r>
      <w:rPr>
        <w:rStyle w:val="7"/>
      </w:rPr>
      <w:instrText xml:space="preserve"> PAGE </w:instrText>
    </w:r>
    <w:r>
      <w:fldChar w:fldCharType="separate"/>
    </w:r>
    <w:r>
      <w:rPr>
        <w:rStyle w:val="7"/>
      </w:rP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mIzZWQyMTVlMTJiZmU0OGMwNGIyZjc3ZWU0MmQifQ=="/>
  </w:docVars>
  <w:rsids>
    <w:rsidRoot w:val="008764AF"/>
    <w:rsid w:val="0050276D"/>
    <w:rsid w:val="005303C9"/>
    <w:rsid w:val="005857FF"/>
    <w:rsid w:val="005B14F2"/>
    <w:rsid w:val="005D6C4F"/>
    <w:rsid w:val="00722738"/>
    <w:rsid w:val="008764AF"/>
    <w:rsid w:val="008F3043"/>
    <w:rsid w:val="009722CD"/>
    <w:rsid w:val="00A36091"/>
    <w:rsid w:val="00B8337C"/>
    <w:rsid w:val="00C34E4C"/>
    <w:rsid w:val="00E71C05"/>
    <w:rsid w:val="00F360AF"/>
    <w:rsid w:val="1F9C6A9E"/>
    <w:rsid w:val="207B2B57"/>
    <w:rsid w:val="24D64800"/>
    <w:rsid w:val="294C5091"/>
    <w:rsid w:val="29FA6419"/>
    <w:rsid w:val="2C7843EE"/>
    <w:rsid w:val="395B30CE"/>
    <w:rsid w:val="3E0C5804"/>
    <w:rsid w:val="4923354C"/>
    <w:rsid w:val="4DB376F9"/>
    <w:rsid w:val="4F5A1A06"/>
    <w:rsid w:val="51FD18BA"/>
    <w:rsid w:val="55782011"/>
    <w:rsid w:val="565847C5"/>
    <w:rsid w:val="594B0611"/>
    <w:rsid w:val="5976568E"/>
    <w:rsid w:val="63416FFC"/>
    <w:rsid w:val="656922F7"/>
    <w:rsid w:val="7625601A"/>
    <w:rsid w:val="7B7C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981</Words>
  <Characters>1030</Characters>
  <Lines>9</Lines>
  <Paragraphs>2</Paragraphs>
  <TotalTime>4</TotalTime>
  <ScaleCrop>false</ScaleCrop>
  <LinksUpToDate>false</LinksUpToDate>
  <CharactersWithSpaces>1192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2022-08-18T03:41:00Z</dcterms:created>
  <dc:creator>邓霞</dc:creator>
  <cp:lastModifiedBy>史钊宁</cp:lastModifiedBy>
  <cp:lastPrinted>2022-09-20T01:48:00Z</cp:lastPrinted>
  <dcterms:modified xsi:type="dcterms:W3CDTF">2023-08-20T02:39:27Z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DADA186965D5438CA4C364973C2D4C65</vt:lpwstr>
  </property>
</Properties>
</file>